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104" w:type="dxa"/>
        <w:jc w:val="right"/>
        <w:tblLook w:val="04A0" w:firstRow="1" w:lastRow="0" w:firstColumn="1" w:lastColumn="0" w:noHBand="0" w:noVBand="1"/>
      </w:tblPr>
      <w:tblGrid>
        <w:gridCol w:w="2104"/>
      </w:tblGrid>
      <w:tr w:rsidR="00591806" w:rsidRPr="00591806" w:rsidTr="00591806">
        <w:trPr>
          <w:trHeight w:val="300"/>
          <w:jc w:val="right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806" w:rsidRPr="00591806" w:rsidRDefault="00591806" w:rsidP="005918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26282F"/>
                <w:sz w:val="22"/>
                <w:szCs w:val="22"/>
              </w:rPr>
            </w:pPr>
            <w:bookmarkStart w:id="0" w:name="sub_1003"/>
            <w:bookmarkStart w:id="1" w:name="RANGE!K3"/>
            <w:r w:rsidRPr="00591806">
              <w:rPr>
                <w:rFonts w:ascii="Calibri" w:eastAsia="Times New Roman" w:hAnsi="Calibri" w:cs="Calibri"/>
                <w:b/>
                <w:bCs/>
                <w:color w:val="26282F"/>
                <w:sz w:val="22"/>
                <w:szCs w:val="22"/>
              </w:rPr>
              <w:t>Приложение N </w:t>
            </w:r>
            <w:bookmarkEnd w:id="1"/>
            <w:r>
              <w:rPr>
                <w:rFonts w:ascii="Calibri" w:eastAsia="Times New Roman" w:hAnsi="Calibri" w:cs="Calibri"/>
                <w:b/>
                <w:bCs/>
                <w:color w:val="26282F"/>
                <w:sz w:val="22"/>
                <w:szCs w:val="22"/>
              </w:rPr>
              <w:t>1</w:t>
            </w:r>
          </w:p>
        </w:tc>
      </w:tr>
      <w:tr w:rsidR="00591806" w:rsidRPr="00591806" w:rsidTr="00591806">
        <w:trPr>
          <w:trHeight w:val="255"/>
          <w:jc w:val="right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806" w:rsidRPr="00591806" w:rsidRDefault="00591806" w:rsidP="005918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</w:rPr>
            </w:pPr>
            <w:hyperlink r:id="rId4" w:anchor="RANGE!sub_0" w:history="1">
              <w:r w:rsidRPr="00591806">
                <w:rPr>
                  <w:rFonts w:ascii="Arial CYR" w:eastAsia="Times New Roman" w:hAnsi="Arial CYR" w:cs="Arial CYR"/>
                  <w:color w:val="0000FF"/>
                  <w:sz w:val="20"/>
                  <w:szCs w:val="20"/>
                  <w:u w:val="single"/>
                </w:rPr>
                <w:t>к приказу ФАС России</w:t>
              </w:r>
            </w:hyperlink>
          </w:p>
        </w:tc>
      </w:tr>
      <w:tr w:rsidR="00591806" w:rsidRPr="00591806" w:rsidTr="00591806">
        <w:trPr>
          <w:trHeight w:val="300"/>
          <w:jc w:val="right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806" w:rsidRPr="00591806" w:rsidRDefault="00591806" w:rsidP="005918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26282F"/>
                <w:sz w:val="22"/>
                <w:szCs w:val="22"/>
              </w:rPr>
            </w:pPr>
            <w:r w:rsidRPr="00591806">
              <w:rPr>
                <w:rFonts w:ascii="Calibri" w:eastAsia="Times New Roman" w:hAnsi="Calibri" w:cs="Calibri"/>
                <w:b/>
                <w:bCs/>
                <w:color w:val="26282F"/>
                <w:sz w:val="22"/>
                <w:szCs w:val="22"/>
              </w:rPr>
              <w:t>от 18.01.2019 N 38/19</w:t>
            </w:r>
          </w:p>
        </w:tc>
      </w:tr>
    </w:tbl>
    <w:p w:rsidR="00591806" w:rsidRDefault="00591806" w:rsidP="00591806">
      <w:pPr>
        <w:ind w:firstLine="698"/>
        <w:jc w:val="right"/>
        <w:rPr>
          <w:rStyle w:val="a3"/>
          <w:bCs/>
        </w:rPr>
      </w:pPr>
    </w:p>
    <w:p w:rsidR="00591806" w:rsidRDefault="00591806" w:rsidP="00591806">
      <w:pPr>
        <w:ind w:firstLine="698"/>
        <w:jc w:val="right"/>
      </w:pPr>
      <w:r>
        <w:rPr>
          <w:rStyle w:val="a3"/>
          <w:bCs/>
        </w:rPr>
        <w:t>Форма 3</w:t>
      </w:r>
    </w:p>
    <w:bookmarkEnd w:id="0"/>
    <w:p w:rsidR="00591806" w:rsidRDefault="00591806" w:rsidP="0059180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420"/>
        <w:gridCol w:w="5740"/>
        <w:gridCol w:w="980"/>
        <w:gridCol w:w="3500"/>
      </w:tblGrid>
      <w:tr w:rsidR="00591806" w:rsidTr="00714257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right"/>
            </w:pPr>
            <w:r>
              <w:rPr>
                <w:rStyle w:val="a3"/>
                <w:bCs/>
              </w:rPr>
              <w:t>Информация о тарифах</w:t>
            </w:r>
          </w:p>
        </w:tc>
        <w:tc>
          <w:tcPr>
            <w:tcW w:w="6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1806" w:rsidRDefault="00591806" w:rsidP="00714257">
            <w:pPr>
              <w:pStyle w:val="a4"/>
            </w:pPr>
            <w:r>
              <w:t>ООО «</w:t>
            </w:r>
            <w:proofErr w:type="spellStart"/>
            <w:r>
              <w:t>Горгаз</w:t>
            </w:r>
            <w:proofErr w:type="spellEnd"/>
            <w:r>
              <w:t>»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5"/>
            </w:pPr>
            <w:r>
              <w:rPr>
                <w:rStyle w:val="a3"/>
                <w:bCs/>
              </w:rPr>
              <w:t>на услуги по транспортировке газа по</w:t>
            </w:r>
          </w:p>
        </w:tc>
      </w:tr>
      <w:tr w:rsidR="00591806" w:rsidTr="00714257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4"/>
            </w:pP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1"/>
            </w:pPr>
            <w:r>
              <w:t>(наименование субъекта естественной монополии)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4"/>
            </w:pPr>
          </w:p>
        </w:tc>
      </w:tr>
      <w:tr w:rsidR="00591806" w:rsidTr="0071425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154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5"/>
            </w:pPr>
            <w:r>
              <w:rPr>
                <w:rStyle w:val="a3"/>
                <w:bCs/>
              </w:rPr>
              <w:t>газораспределительным сетям на территории__</w:t>
            </w:r>
            <w:r w:rsidRPr="00455A54">
              <w:rPr>
                <w:rStyle w:val="a3"/>
                <w:b w:val="0"/>
                <w:bCs/>
                <w:u w:val="single"/>
              </w:rPr>
              <w:t>Ямало-Ненецкого автономного округа</w:t>
            </w:r>
            <w:r>
              <w:rPr>
                <w:rStyle w:val="a3"/>
                <w:bCs/>
              </w:rPr>
              <w:t>____________________</w:t>
            </w:r>
          </w:p>
        </w:tc>
      </w:tr>
      <w:tr w:rsidR="00591806" w:rsidTr="00714257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4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4"/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1"/>
            </w:pPr>
            <w:r>
              <w:t>(наименование субъекта Российской Федерации)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4"/>
            </w:pPr>
          </w:p>
        </w:tc>
      </w:tr>
      <w:tr w:rsidR="00591806" w:rsidTr="00714257">
        <w:tblPrEx>
          <w:tblCellMar>
            <w:top w:w="0" w:type="dxa"/>
            <w:bottom w:w="0" w:type="dxa"/>
          </w:tblCellMar>
        </w:tblPrEx>
        <w:tc>
          <w:tcPr>
            <w:tcW w:w="10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5"/>
            </w:pPr>
            <w:r>
              <w:rPr>
                <w:rStyle w:val="a3"/>
                <w:bCs/>
              </w:rPr>
              <w:t xml:space="preserve">в </w:t>
            </w:r>
            <w:r w:rsidRPr="00455A54">
              <w:rPr>
                <w:rStyle w:val="a3"/>
                <w:b w:val="0"/>
                <w:bCs/>
                <w:u w:val="single"/>
              </w:rPr>
              <w:t>г. Губкинский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4"/>
            </w:pPr>
          </w:p>
        </w:tc>
      </w:tr>
      <w:tr w:rsidR="00591806" w:rsidTr="00714257">
        <w:tblPrEx>
          <w:tblCellMar>
            <w:top w:w="0" w:type="dxa"/>
            <w:bottom w:w="0" w:type="dxa"/>
          </w:tblCellMar>
        </w:tblPrEx>
        <w:tc>
          <w:tcPr>
            <w:tcW w:w="10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5"/>
            </w:pPr>
            <w:r>
              <w:rPr>
                <w:rStyle w:val="a3"/>
                <w:bCs/>
              </w:rPr>
              <w:t>(наименование зоны обслуживания/обособленной системы)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1806" w:rsidRDefault="00591806" w:rsidP="00714257">
            <w:pPr>
              <w:pStyle w:val="a4"/>
            </w:pPr>
          </w:p>
        </w:tc>
      </w:tr>
    </w:tbl>
    <w:p w:rsidR="00591806" w:rsidRDefault="00591806" w:rsidP="00591806"/>
    <w:tbl>
      <w:tblPr>
        <w:tblW w:w="15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1678"/>
        <w:gridCol w:w="1678"/>
        <w:gridCol w:w="1678"/>
        <w:gridCol w:w="1678"/>
        <w:gridCol w:w="70"/>
        <w:gridCol w:w="1748"/>
        <w:gridCol w:w="1678"/>
        <w:gridCol w:w="24"/>
        <w:gridCol w:w="1656"/>
        <w:gridCol w:w="46"/>
        <w:gridCol w:w="2471"/>
      </w:tblGrid>
      <w:tr w:rsidR="00591806" w:rsidTr="004D6AFD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12867" w:type="dxa"/>
            <w:gridSpan w:val="10"/>
            <w:tcBorders>
              <w:top w:val="single" w:sz="4" w:space="0" w:color="auto"/>
              <w:bottom w:val="nil"/>
              <w:right w:val="nil"/>
            </w:tcBorders>
          </w:tcPr>
          <w:p w:rsidR="00591806" w:rsidRDefault="00591806" w:rsidP="004D6AFD">
            <w:pPr>
              <w:pStyle w:val="a4"/>
              <w:jc w:val="center"/>
            </w:pPr>
            <w:r>
              <w:t>Приказ Федераль</w:t>
            </w:r>
            <w:r w:rsidR="009118D7">
              <w:t xml:space="preserve">ной Антимонопольной службы </w:t>
            </w:r>
            <w:r w:rsidR="004D6AFD">
              <w:t xml:space="preserve"> </w:t>
            </w:r>
            <w:r w:rsidR="009118D7">
              <w:t xml:space="preserve"> 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118D7" w:rsidRDefault="009118D7" w:rsidP="009118D7">
            <w:pPr>
              <w:pStyle w:val="a4"/>
              <w:jc w:val="center"/>
            </w:pPr>
            <w:r>
              <w:t>о</w:t>
            </w:r>
            <w:r w:rsidR="00591806">
              <w:t>т</w:t>
            </w:r>
            <w:r>
              <w:t xml:space="preserve"> 27.06.2019 </w:t>
            </w:r>
          </w:p>
          <w:p w:rsidR="00591806" w:rsidRDefault="009118D7" w:rsidP="009118D7">
            <w:pPr>
              <w:pStyle w:val="a4"/>
              <w:jc w:val="center"/>
            </w:pPr>
            <w:r>
              <w:t>№ 841/19</w:t>
            </w:r>
          </w:p>
        </w:tc>
      </w:tr>
      <w:tr w:rsidR="00591806" w:rsidTr="004D6AFD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12867" w:type="dxa"/>
            <w:gridSpan w:val="10"/>
            <w:tcBorders>
              <w:top w:val="single" w:sz="4" w:space="0" w:color="auto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 xml:space="preserve">Тарифы на услуги по транспортировке газа по газораспределительным сетям (руб./1000 </w:t>
            </w:r>
            <w:r>
              <w:rPr>
                <w:noProof/>
              </w:rPr>
              <w:drawing>
                <wp:inline distT="0" distB="0" distL="0" distR="0">
                  <wp:extent cx="209550" cy="247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) по группам потребителей с объемом потребления газа (млн. </w:t>
            </w:r>
            <w:r>
              <w:rPr>
                <w:noProof/>
              </w:rPr>
              <w:drawing>
                <wp:inline distT="0" distB="0" distL="0" distR="0">
                  <wp:extent cx="504825" cy="2476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2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 xml:space="preserve">Тариф на услуги по транспортировке газа в транзитном потоке (руб./1000 </w:t>
            </w:r>
            <w:r>
              <w:rPr>
                <w:noProof/>
              </w:rPr>
              <w:drawing>
                <wp:inline distT="0" distB="0" distL="0" distR="0">
                  <wp:extent cx="20955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</w:tr>
      <w:tr w:rsidR="00591806" w:rsidTr="004D6AFD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979" w:type="dxa"/>
            <w:tcBorders>
              <w:top w:val="single" w:sz="4" w:space="0" w:color="auto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>свыше 500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>от 100 до 500 включительно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>от 10 до 100 включительно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>от 1 до 10 включительно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>от 0,1 до 1 включительно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>от 0,01 до 0,1 включительно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>до 0,01 включительно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1806" w:rsidRDefault="00591806" w:rsidP="00714257">
            <w:pPr>
              <w:pStyle w:val="a4"/>
              <w:jc w:val="center"/>
            </w:pPr>
            <w:r>
              <w:t>население</w:t>
            </w:r>
          </w:p>
        </w:tc>
        <w:tc>
          <w:tcPr>
            <w:tcW w:w="2517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:rsidR="00591806" w:rsidRDefault="00591806" w:rsidP="00714257">
            <w:pPr>
              <w:pStyle w:val="a4"/>
            </w:pPr>
          </w:p>
        </w:tc>
      </w:tr>
      <w:tr w:rsidR="00591806" w:rsidTr="004D6AF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5384" w:type="dxa"/>
            <w:gridSpan w:val="12"/>
            <w:tcBorders>
              <w:top w:val="single" w:sz="4" w:space="0" w:color="auto"/>
              <w:bottom w:val="nil"/>
            </w:tcBorders>
          </w:tcPr>
          <w:p w:rsidR="00591806" w:rsidRDefault="004D6AFD" w:rsidP="004D6AFD">
            <w:pPr>
              <w:pStyle w:val="a4"/>
              <w:jc w:val="center"/>
            </w:pPr>
            <w:r>
              <w:t>до 1 июля 2020 года</w:t>
            </w:r>
          </w:p>
        </w:tc>
      </w:tr>
      <w:tr w:rsidR="004D6AFD" w:rsidTr="004D6AF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4" w:space="0" w:color="auto"/>
              <w:bottom w:val="nil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648,14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972,2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1296,27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1620,34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2025,43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802,86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</w:tr>
      <w:tr w:rsidR="00591806" w:rsidTr="004D6AF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5384" w:type="dxa"/>
            <w:gridSpan w:val="12"/>
            <w:tcBorders>
              <w:top w:val="single" w:sz="4" w:space="0" w:color="auto"/>
              <w:bottom w:val="nil"/>
            </w:tcBorders>
          </w:tcPr>
          <w:p w:rsidR="00591806" w:rsidRDefault="004D6AFD" w:rsidP="004D6AFD">
            <w:pPr>
              <w:pStyle w:val="a4"/>
              <w:jc w:val="center"/>
            </w:pPr>
            <w:r>
              <w:t xml:space="preserve">с </w:t>
            </w:r>
            <w:r>
              <w:t>1 июля 202</w:t>
            </w:r>
            <w:r>
              <w:t>0</w:t>
            </w:r>
            <w:r>
              <w:t xml:space="preserve"> года</w:t>
            </w:r>
          </w:p>
        </w:tc>
      </w:tr>
      <w:tr w:rsidR="004D6AFD" w:rsidTr="004D6AF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667,61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1001,41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1335,22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1669,02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2086,28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826,95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</w:tr>
      <w:tr w:rsidR="004D6AFD" w:rsidTr="004D6AF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5384" w:type="dxa"/>
            <w:gridSpan w:val="12"/>
            <w:tcBorders>
              <w:top w:val="single" w:sz="4" w:space="0" w:color="auto"/>
              <w:bottom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с 1 июля 202</w:t>
            </w:r>
            <w:r>
              <w:t>1</w:t>
            </w:r>
            <w:r>
              <w:t xml:space="preserve"> года</w:t>
            </w:r>
          </w:p>
        </w:tc>
      </w:tr>
      <w:tr w:rsidR="004D6AFD" w:rsidTr="004D6AF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687,62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1031,42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Pr="004D6AFD" w:rsidRDefault="004D6AFD" w:rsidP="004D6AFD">
            <w:pPr>
              <w:pStyle w:val="a4"/>
              <w:jc w:val="center"/>
            </w:pPr>
            <w:r>
              <w:t>1375,23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1719,04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2148,8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851,76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</w:tr>
      <w:tr w:rsidR="004D6AFD" w:rsidTr="008F5A12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53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с 1 июля 2022 года</w:t>
            </w:r>
          </w:p>
        </w:tc>
      </w:tr>
      <w:tr w:rsidR="004D6AFD" w:rsidTr="004D6AF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708,23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1062,35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1416,46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1770,58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2213,23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877,31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</w:tr>
      <w:tr w:rsidR="004D6AFD" w:rsidTr="00255099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538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с 1 июля 2023 года</w:t>
            </w:r>
          </w:p>
        </w:tc>
      </w:tr>
      <w:tr w:rsidR="004D6AFD" w:rsidTr="004D6AF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729,5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1094,26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1459,01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1823,76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2279,7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AFD" w:rsidRDefault="005A160C" w:rsidP="004D6AFD">
            <w:pPr>
              <w:pStyle w:val="a4"/>
              <w:jc w:val="center"/>
            </w:pPr>
            <w:r>
              <w:t>903,63</w:t>
            </w:r>
            <w:bookmarkStart w:id="2" w:name="_GoBack"/>
            <w:bookmarkEnd w:id="2"/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AFD" w:rsidRDefault="004D6AFD" w:rsidP="004D6AFD">
            <w:pPr>
              <w:pStyle w:val="a4"/>
              <w:jc w:val="center"/>
            </w:pPr>
            <w:r>
              <w:t>-</w:t>
            </w:r>
          </w:p>
        </w:tc>
      </w:tr>
    </w:tbl>
    <w:p w:rsidR="00DC3426" w:rsidRDefault="00DC3426" w:rsidP="004D6AFD">
      <w:pPr>
        <w:ind w:firstLine="0"/>
        <w:jc w:val="center"/>
      </w:pPr>
    </w:p>
    <w:sectPr w:rsidR="00DC3426" w:rsidSect="004D6AF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7F"/>
    <w:rsid w:val="004D6AFD"/>
    <w:rsid w:val="00591806"/>
    <w:rsid w:val="005A160C"/>
    <w:rsid w:val="009118D7"/>
    <w:rsid w:val="00BD157F"/>
    <w:rsid w:val="00DC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D66B"/>
  <w15:chartTrackingRefBased/>
  <w15:docId w15:val="{00E80A68-BA71-4B84-BA14-83EABC36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8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180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180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91806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591806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591806"/>
    <w:pPr>
      <w:ind w:firstLine="0"/>
      <w:jc w:val="left"/>
    </w:pPr>
  </w:style>
  <w:style w:type="character" w:styleId="a6">
    <w:name w:val="Hyperlink"/>
    <w:basedOn w:val="a0"/>
    <w:uiPriority w:val="99"/>
    <w:semiHidden/>
    <w:unhideWhenUsed/>
    <w:rsid w:val="005918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6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hyperlink" Target="file:///C:\Users\User\AppData\Roaming\Microsoft\Excel\9%20&#1092;&#1086;&#1088;&#1084;&#1072;%202%20(version%201).xls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2019-07-29T09:35:00Z</dcterms:created>
  <dcterms:modified xsi:type="dcterms:W3CDTF">2019-07-29T10:51:00Z</dcterms:modified>
</cp:coreProperties>
</file>